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2612/2026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86MS0067-01-2026-004293-86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</w:t>
      </w:r>
    </w:p>
    <w:p>
      <w:pPr>
        <w:tabs>
          <w:tab w:val="left" w:pos="3495"/>
        </w:tabs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17 июня 2026 года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город Сургут</w:t>
      </w: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>Думлер Галина Павловна</w:t>
      </w:r>
      <w:r>
        <w:rPr>
          <w:rFonts w:ascii="Times New Roman" w:eastAsia="Times New Roman" w:hAnsi="Times New Roman" w:cs="Times New Roman"/>
          <w:sz w:val="27"/>
          <w:szCs w:val="27"/>
        </w:rPr>
        <w:t>, находящийся по адресу: г.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>. 402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материалы дела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Общества с ограниченной ответственностью «</w:t>
      </w:r>
      <w:r>
        <w:rPr>
          <w:rFonts w:ascii="Times New Roman" w:eastAsia="Times New Roman" w:hAnsi="Times New Roman" w:cs="Times New Roman"/>
          <w:sz w:val="27"/>
          <w:szCs w:val="27"/>
        </w:rPr>
        <w:t>ТЮМЕНЬЭЛЕКТРОСЕРВИС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19rplc-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осуществлении проверки налогового контроля выявлены достаточные данные, указывающие на наличие события административного правонарушения,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предусмотренного ст. 19.7 КоАП РФ,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именно: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01.04.2026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ТЮМЕНЬЭЛЕКТРОСЕРВИС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адресу </w:t>
      </w:r>
      <w:r>
        <w:rPr>
          <w:rStyle w:val="cat-UserDefinedgrp-20rplc-1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исполнило установленную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>. 5.1 п. 1 ст. 23 НК РФ обязанность по своевременному предоставлению 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УФНС России по ХМАО-Югре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ой (финансовой)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срок предоставления которой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не позднее 31.03.2026 г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ода. Фактически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ая (финансовая)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 представлена.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Законный 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редставитель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ТЮМЕНЬЭЛЕКТРОСЕРВИС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»,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извещенный о времени и месте рассмотрения дела надлежащим образом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судебной повесткой, возвращённой в адрес суда с отметкой об истечении срока хранения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(п. 6 постановления Пленума ВС РФ от 24.03.2005 г. № 5), в судебное заседание не явился, ходатайств об отложении рассмотрения дела не заявлял.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Вследствие изложенного и на основании ч.2 ст. 25.1 КоАП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 считает возможным рассмотреть дело в отсутствие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представителя </w:t>
      </w:r>
      <w:r>
        <w:rPr>
          <w:rFonts w:ascii="Times New Roman" w:eastAsia="Times New Roman" w:hAnsi="Times New Roman" w:cs="Times New Roman"/>
          <w:sz w:val="27"/>
          <w:szCs w:val="27"/>
        </w:rPr>
        <w:t>юридического лица по имеющимся в деле доказательствам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выводу о том, что виновность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ТЮМЕНЬЭЛЕКТРОСЕРВИС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правонарушения подтверждается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следующими документами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протоколом № </w:t>
      </w:r>
      <w:r>
        <w:rPr>
          <w:rFonts w:ascii="Times New Roman" w:eastAsia="Times New Roman" w:hAnsi="Times New Roman" w:cs="Times New Roman"/>
          <w:sz w:val="27"/>
          <w:szCs w:val="27"/>
        </w:rPr>
        <w:t>86002612000860700001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30.04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справкой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старшего государственного налогового инспектора отдела камерального контроля УФНС России по ХМАО-Югре от </w:t>
      </w:r>
      <w:r>
        <w:rPr>
          <w:rFonts w:ascii="Times New Roman" w:eastAsia="Times New Roman" w:hAnsi="Times New Roman" w:cs="Times New Roman"/>
          <w:sz w:val="27"/>
          <w:szCs w:val="27"/>
        </w:rPr>
        <w:t>30.04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копией выписки из Единого государственного реестра юридических лиц.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удья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силу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5.1 п. 1 ст. 23 НК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налогоплательщики обязаны </w:t>
      </w:r>
      <w:hyperlink r:id="rId4" w:anchor="/multilink/10900200/paragraph/791/number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представлять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в налоговый орган по месту нахождения организации, у которой отсутствует обязанность представлять годовую бухгалтерскую (финансовую) отчетность, составляющую государственный информационный ресурс бухгалтерской (финансовой) отчетности 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70103036/entry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от 06.12.2011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402-ФЗ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О бухгалтерском учете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>, годовую бухгалтерскую (финансовую) отчетность не позднее трех месяцев после окончания отчетного года, за исключением случаев, когда организация в соответствии с указанным Федеральным законом не обязана вести бухгалтерский учет,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(финансовую) отчетность, если иное не предусмотрено данным подпунктом.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>ценив приведенные выше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 в их совокупности,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с учетом обстоятельств дела, считает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ТЮМЕНЬЭЛЕКТРОСЕРВИС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полностью доказанной. </w:t>
      </w:r>
      <w:r>
        <w:rPr>
          <w:rFonts w:ascii="Times New Roman" w:eastAsia="Times New Roman" w:hAnsi="Times New Roman" w:cs="Times New Roman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sz w:val="27"/>
          <w:szCs w:val="27"/>
        </w:rPr>
        <w:t>ействия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последнего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квалифицируются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судом </w:t>
      </w:r>
      <w:r>
        <w:rPr>
          <w:rFonts w:ascii="Times New Roman" w:eastAsia="Times New Roman" w:hAnsi="Times New Roman" w:cs="Times New Roman"/>
          <w:sz w:val="27"/>
          <w:szCs w:val="27"/>
        </w:rPr>
        <w:t>по ст. 19.7 КоАП РФ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непредставление в государственный орган (должностному лицу), орган (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должностному лицу), осуществляющий (осуществляющему) государственный контроль (надзор),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исключающих производство по делу об административном правонарушении и возможность рассмотрения дела об административном правонарушении, не имеется. </w:t>
      </w:r>
    </w:p>
    <w:p>
      <w:pPr>
        <w:spacing w:before="0" w:after="0"/>
        <w:ind w:firstLine="60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предусмотренных ст. 4.2 КоАП РФ, смягчающих административную ответственность, суд не усматривает.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отягчающих административную ответственность, в соответствии со ст.4.3 КоАП РФ, суд не усматривает.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определении меры наказания суд учитывает характер и степень общественной опасности деяния, данные о юридическом лице,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отсутствие смягчающих и отягчающих административную ответственность обстоятельств, </w:t>
      </w:r>
      <w:r>
        <w:rPr>
          <w:rFonts w:ascii="Times New Roman" w:eastAsia="Times New Roman" w:hAnsi="Times New Roman" w:cs="Times New Roman"/>
          <w:sz w:val="27"/>
          <w:szCs w:val="27"/>
        </w:rPr>
        <w:t>руководствуясь ст. 3.4 КоАП РФ полагает справедливым назначить наказание в виде предупреждения, то есть официального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порицания.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 основании выше изложенного, руководствуясь ст. 29.9-29.11 КоАП РФ, мировой судья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юридическое лицо - </w:t>
      </w:r>
      <w:r>
        <w:rPr>
          <w:rFonts w:ascii="Times New Roman" w:eastAsia="Times New Roman" w:hAnsi="Times New Roman" w:cs="Times New Roman"/>
          <w:sz w:val="27"/>
          <w:szCs w:val="27"/>
        </w:rPr>
        <w:t>Обществ</w:t>
      </w: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 ограниченной ответственностью «</w:t>
      </w:r>
      <w:r>
        <w:rPr>
          <w:rFonts w:ascii="Times New Roman" w:eastAsia="Times New Roman" w:hAnsi="Times New Roman" w:cs="Times New Roman"/>
          <w:sz w:val="27"/>
          <w:szCs w:val="27"/>
        </w:rPr>
        <w:t>ТЮМЕНЬЭЛЕКТРОСЕРВИС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ым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административного правонарушения, предусмотренного ст. </w:t>
      </w:r>
      <w:r>
        <w:rPr>
          <w:rFonts w:ascii="Times New Roman" w:eastAsia="Times New Roman" w:hAnsi="Times New Roman" w:cs="Times New Roman"/>
          <w:sz w:val="27"/>
          <w:szCs w:val="27"/>
        </w:rPr>
        <w:t>19.7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 </w:t>
      </w:r>
      <w:r>
        <w:rPr>
          <w:rFonts w:ascii="Times New Roman" w:eastAsia="Times New Roman" w:hAnsi="Times New Roman" w:cs="Times New Roman"/>
          <w:sz w:val="27"/>
          <w:szCs w:val="27"/>
        </w:rPr>
        <w:t>и назначить наказание в виде предупреждения.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путем подачи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</w:t>
      </w:r>
      <w:r>
        <w:rPr>
          <w:rFonts w:ascii="Times New Roman" w:eastAsia="Times New Roman" w:hAnsi="Times New Roman" w:cs="Times New Roman"/>
          <w:sz w:val="27"/>
          <w:szCs w:val="27"/>
        </w:rPr>
        <w:t>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судебного участка № 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в течение десяти дней со дня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«17» июня 2026 г.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№12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Г.П. Думлер________________________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26"/>
          <w:szCs w:val="26"/>
        </w:rPr>
        <w:t>750</w:t>
      </w:r>
      <w:r>
        <w:rPr>
          <w:rFonts w:ascii="Times New Roman" w:eastAsia="Times New Roman" w:hAnsi="Times New Roman" w:cs="Times New Roman"/>
          <w:sz w:val="26"/>
          <w:szCs w:val="26"/>
        </w:rPr>
        <w:t>-2612/2026</w:t>
      </w:r>
    </w:p>
    <w:sectPr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58760315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9rplc-8">
    <w:name w:val="cat-UserDefined grp-19 rplc-8"/>
    <w:basedOn w:val="DefaultParagraphFont"/>
  </w:style>
  <w:style w:type="character" w:customStyle="1" w:styleId="cat-UserDefinedgrp-20rplc-13">
    <w:name w:val="cat-UserDefined grp-20 rplc-13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FB6C2A-C038-49F4-AEB9-12544BB2278D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